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25" w:rsidRPr="00352525" w:rsidRDefault="00352525" w:rsidP="00352525">
      <w:pPr>
        <w:pStyle w:val="NoSpacing"/>
        <w:jc w:val="center"/>
        <w:rPr>
          <w:rFonts w:ascii="Algerian" w:hAnsi="Algerian"/>
          <w:b/>
          <w:color w:val="0070C0"/>
          <w:sz w:val="48"/>
          <w:szCs w:val="48"/>
          <w:highlight w:val="yellow"/>
        </w:rPr>
      </w:pPr>
      <w:r w:rsidRPr="00352525">
        <w:rPr>
          <w:rFonts w:ascii="Algerian" w:hAnsi="Algerian"/>
          <w:b/>
          <w:color w:val="0070C0"/>
          <w:sz w:val="48"/>
          <w:szCs w:val="48"/>
          <w:highlight w:val="yellow"/>
        </w:rPr>
        <w:t>CANARA BANK SECURITIES LTD.</w:t>
      </w:r>
    </w:p>
    <w:p w:rsidR="00352525" w:rsidRPr="00352525" w:rsidRDefault="00352525" w:rsidP="00352525">
      <w:pPr>
        <w:pStyle w:val="NoSpacing"/>
        <w:jc w:val="center"/>
        <w:rPr>
          <w:rFonts w:ascii="Algerian" w:hAnsi="Algerian"/>
          <w:color w:val="0070C0"/>
          <w:highlight w:val="yellow"/>
        </w:rPr>
      </w:pPr>
      <w:r w:rsidRPr="00352525">
        <w:rPr>
          <w:rFonts w:ascii="Algerian" w:hAnsi="Algerian"/>
          <w:color w:val="0070C0"/>
          <w:highlight w:val="yellow"/>
        </w:rPr>
        <w:t>7</w:t>
      </w:r>
      <w:r w:rsidRPr="00352525">
        <w:rPr>
          <w:rFonts w:ascii="Algerian" w:hAnsi="Algerian"/>
          <w:color w:val="0070C0"/>
          <w:highlight w:val="yellow"/>
          <w:vertAlign w:val="superscript"/>
        </w:rPr>
        <w:t>TH</w:t>
      </w:r>
      <w:r w:rsidRPr="00352525">
        <w:rPr>
          <w:rFonts w:ascii="Algerian" w:hAnsi="Algerian"/>
          <w:color w:val="0070C0"/>
          <w:highlight w:val="yellow"/>
        </w:rPr>
        <w:t xml:space="preserve"> FLOOR, MAKER CHAMBER III</w:t>
      </w:r>
    </w:p>
    <w:p w:rsidR="00352525" w:rsidRPr="00352525" w:rsidRDefault="00352525" w:rsidP="00352525">
      <w:pPr>
        <w:pStyle w:val="NoSpacing"/>
        <w:jc w:val="center"/>
        <w:rPr>
          <w:rFonts w:ascii="Algerian" w:hAnsi="Algerian"/>
          <w:color w:val="0070C0"/>
          <w:highlight w:val="yellow"/>
        </w:rPr>
      </w:pPr>
      <w:r w:rsidRPr="00352525">
        <w:rPr>
          <w:rFonts w:ascii="Algerian" w:hAnsi="Algerian"/>
          <w:color w:val="0070C0"/>
          <w:highlight w:val="yellow"/>
        </w:rPr>
        <w:t xml:space="preserve">NARIMAN POINT MUMBAI </w:t>
      </w:r>
    </w:p>
    <w:p w:rsidR="00352525" w:rsidRDefault="00352525" w:rsidP="00951C1E">
      <w:pPr>
        <w:jc w:val="center"/>
        <w:rPr>
          <w:rFonts w:ascii="Algerian" w:hAnsi="Algerian"/>
          <w:highlight w:val="yellow"/>
        </w:rPr>
      </w:pPr>
    </w:p>
    <w:p w:rsidR="00BC5602" w:rsidRPr="00352525" w:rsidRDefault="00951C1E" w:rsidP="00951C1E">
      <w:pPr>
        <w:jc w:val="center"/>
        <w:rPr>
          <w:rFonts w:ascii="Algerian" w:hAnsi="Algerian"/>
          <w:color w:val="C00000"/>
        </w:rPr>
      </w:pPr>
      <w:r w:rsidRPr="00352525">
        <w:rPr>
          <w:rFonts w:ascii="Algerian" w:hAnsi="Algerian"/>
          <w:color w:val="C00000"/>
          <w:highlight w:val="yellow"/>
        </w:rPr>
        <w:t xml:space="preserve">TAX FREE BONDS </w:t>
      </w:r>
      <w:r w:rsidR="00201BE1">
        <w:rPr>
          <w:rFonts w:ascii="Algerian" w:hAnsi="Algerian"/>
          <w:color w:val="C00000"/>
          <w:highlight w:val="yellow"/>
        </w:rPr>
        <w:t xml:space="preserve">– offer </w:t>
      </w:r>
      <w:r w:rsidRPr="00352525">
        <w:rPr>
          <w:rFonts w:ascii="Algerian" w:hAnsi="Algerian"/>
          <w:color w:val="C00000"/>
          <w:highlight w:val="yellow"/>
        </w:rPr>
        <w:t>FOR SALE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790"/>
        <w:gridCol w:w="5760"/>
      </w:tblGrid>
      <w:tr w:rsidR="00951C1E" w:rsidRPr="00352525" w:rsidTr="0035252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Nomenclature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7.17% Indian Renewable Energy  Development Agency Ltd (IREDA) 2025 – Tax Free Bonds Series XIV</w:t>
            </w:r>
          </w:p>
        </w:tc>
      </w:tr>
      <w:tr w:rsidR="00951C1E" w:rsidRPr="00352525" w:rsidTr="0035252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ISIN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INE202E07179</w:t>
            </w:r>
          </w:p>
        </w:tc>
      </w:tr>
      <w:tr w:rsidR="00951C1E" w:rsidRPr="00352525" w:rsidTr="0035252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Face Value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Rs.10,00,000</w:t>
            </w:r>
          </w:p>
        </w:tc>
      </w:tr>
      <w:tr w:rsidR="00951C1E" w:rsidRPr="00352525" w:rsidTr="0035252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Coupon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7.17%</w:t>
            </w:r>
          </w:p>
        </w:tc>
      </w:tr>
      <w:tr w:rsidR="00951C1E" w:rsidRPr="00352525" w:rsidTr="0035252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Date of maturity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01.10.2025</w:t>
            </w:r>
          </w:p>
        </w:tc>
      </w:tr>
      <w:tr w:rsidR="00951C1E" w:rsidRPr="00352525" w:rsidTr="0035252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Credit Rating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AA+ by ICRA &amp; India Rating &amp; Research (P) Ltd</w:t>
            </w:r>
          </w:p>
        </w:tc>
      </w:tr>
      <w:tr w:rsidR="00951C1E" w:rsidRPr="00352525" w:rsidTr="0035252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Coupon date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01</w:t>
            </w:r>
            <w:r w:rsidRPr="00352525">
              <w:rPr>
                <w:rFonts w:ascii="Bookman Old Style" w:hAnsi="Bookman Old Style"/>
                <w:b/>
                <w:color w:val="002060"/>
                <w:vertAlign w:val="superscript"/>
              </w:rPr>
              <w:t>st</w:t>
            </w:r>
            <w:r w:rsidRPr="00352525">
              <w:rPr>
                <w:rFonts w:ascii="Bookman Old Style" w:hAnsi="Bookman Old Style"/>
                <w:b/>
                <w:color w:val="002060"/>
              </w:rPr>
              <w:t xml:space="preserve"> October annually</w:t>
            </w:r>
          </w:p>
        </w:tc>
      </w:tr>
      <w:tr w:rsidR="00951C1E" w:rsidRPr="00352525" w:rsidTr="0035252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Form of holding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Demat</w:t>
            </w:r>
          </w:p>
        </w:tc>
      </w:tr>
      <w:tr w:rsidR="00951C1E" w:rsidRPr="00352525" w:rsidTr="0035252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 xml:space="preserve">No of bonds offered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1E" w:rsidRPr="00352525" w:rsidRDefault="00951C1E">
            <w:pPr>
              <w:rPr>
                <w:rFonts w:ascii="Bookman Old Style" w:hAnsi="Bookman Old Style"/>
                <w:b/>
                <w:color w:val="002060"/>
              </w:rPr>
            </w:pPr>
            <w:r w:rsidRPr="00352525">
              <w:rPr>
                <w:rFonts w:ascii="Bookman Old Style" w:hAnsi="Bookman Old Style"/>
                <w:b/>
                <w:color w:val="002060"/>
              </w:rPr>
              <w:t>Up to 5</w:t>
            </w:r>
            <w:r w:rsidR="00201BE1">
              <w:rPr>
                <w:rFonts w:ascii="Bookman Old Style" w:hAnsi="Bookman Old Style"/>
                <w:b/>
                <w:color w:val="002060"/>
              </w:rPr>
              <w:t xml:space="preserve"> (in multiples of Rs.10 lakhs)</w:t>
            </w:r>
          </w:p>
        </w:tc>
      </w:tr>
    </w:tbl>
    <w:p w:rsidR="00951C1E" w:rsidRDefault="00951C1E" w:rsidP="00951C1E">
      <w:pPr>
        <w:pStyle w:val="NoSpacing"/>
      </w:pPr>
    </w:p>
    <w:p w:rsidR="00951C1E" w:rsidRPr="00951C1E" w:rsidRDefault="00951C1E" w:rsidP="00951C1E">
      <w:pPr>
        <w:pStyle w:val="NoSpacing"/>
        <w:rPr>
          <w:color w:val="0070C0"/>
        </w:rPr>
      </w:pPr>
      <w:r w:rsidRPr="00951C1E">
        <w:rPr>
          <w:color w:val="0070C0"/>
        </w:rPr>
        <w:t xml:space="preserve">Please contact the following Official to know the Price and Yield. </w:t>
      </w:r>
    </w:p>
    <w:p w:rsidR="00951C1E" w:rsidRDefault="00951C1E"/>
    <w:p w:rsidR="00951C1E" w:rsidRPr="00352525" w:rsidRDefault="00951C1E" w:rsidP="00951C1E">
      <w:pPr>
        <w:pStyle w:val="NoSpacing"/>
        <w:rPr>
          <w:rFonts w:ascii="Algerian" w:hAnsi="Algerian"/>
          <w:b/>
          <w:color w:val="0070C0"/>
        </w:rPr>
      </w:pPr>
      <w:r w:rsidRPr="00352525">
        <w:rPr>
          <w:rFonts w:ascii="Algerian" w:hAnsi="Algerian"/>
          <w:b/>
          <w:color w:val="0070C0"/>
        </w:rPr>
        <w:t xml:space="preserve">Sri </w:t>
      </w:r>
      <w:proofErr w:type="spellStart"/>
      <w:r w:rsidRPr="00352525">
        <w:rPr>
          <w:rFonts w:ascii="Algerian" w:hAnsi="Algerian"/>
          <w:b/>
          <w:color w:val="0070C0"/>
        </w:rPr>
        <w:t>Ankit</w:t>
      </w:r>
      <w:proofErr w:type="spellEnd"/>
      <w:r w:rsidRPr="00352525">
        <w:rPr>
          <w:rFonts w:ascii="Algerian" w:hAnsi="Algerian"/>
          <w:b/>
          <w:color w:val="0070C0"/>
        </w:rPr>
        <w:t xml:space="preserve"> </w:t>
      </w:r>
      <w:proofErr w:type="spellStart"/>
      <w:r w:rsidRPr="00352525">
        <w:rPr>
          <w:rFonts w:ascii="Algerian" w:hAnsi="Algerian"/>
          <w:b/>
          <w:color w:val="0070C0"/>
        </w:rPr>
        <w:t>Bhatnagar</w:t>
      </w:r>
      <w:proofErr w:type="spellEnd"/>
    </w:p>
    <w:p w:rsidR="00951C1E" w:rsidRPr="00954C69" w:rsidRDefault="00951C1E" w:rsidP="00951C1E">
      <w:pPr>
        <w:pStyle w:val="NoSpacing"/>
        <w:rPr>
          <w:rFonts w:ascii="Castellar" w:hAnsi="Castellar" w:cs="Aharoni"/>
          <w:b/>
          <w:color w:val="0070C0"/>
        </w:rPr>
      </w:pPr>
      <w:r w:rsidRPr="00954C69">
        <w:rPr>
          <w:rFonts w:ascii="Castellar" w:hAnsi="Castellar" w:cs="Aharoni"/>
          <w:b/>
          <w:color w:val="0070C0"/>
        </w:rPr>
        <w:t>022 22802438 / 439</w:t>
      </w:r>
    </w:p>
    <w:p w:rsidR="00951C1E" w:rsidRPr="00954C69" w:rsidRDefault="00951C1E" w:rsidP="00951C1E">
      <w:pPr>
        <w:pStyle w:val="NoSpacing"/>
        <w:rPr>
          <w:rFonts w:ascii="Castellar" w:hAnsi="Castellar" w:cs="Aharoni"/>
          <w:b/>
          <w:color w:val="0070C0"/>
        </w:rPr>
      </w:pPr>
      <w:r w:rsidRPr="00954C69">
        <w:rPr>
          <w:rFonts w:ascii="Castellar" w:hAnsi="Castellar" w:cs="Aharoni"/>
          <w:b/>
          <w:color w:val="0070C0"/>
        </w:rPr>
        <w:t>022 43603838 / 839</w:t>
      </w:r>
    </w:p>
    <w:p w:rsidR="000E3A55" w:rsidRDefault="000E3A55" w:rsidP="00951C1E">
      <w:pPr>
        <w:pStyle w:val="NoSpacing"/>
        <w:rPr>
          <w:rFonts w:ascii="Castellar" w:hAnsi="Castellar" w:cs="Aharoni"/>
          <w:b/>
        </w:rPr>
      </w:pPr>
    </w:p>
    <w:p w:rsidR="000E3A55" w:rsidRPr="00D32A96" w:rsidRDefault="000E3A55" w:rsidP="00951C1E">
      <w:pPr>
        <w:pStyle w:val="NoSpacing"/>
        <w:rPr>
          <w:rFonts w:ascii="Bookman Old Style" w:hAnsi="Bookman Old Style" w:cs="Aharoni"/>
          <w:b/>
          <w:color w:val="002060"/>
        </w:rPr>
      </w:pPr>
      <w:r w:rsidRPr="007A24CE">
        <w:rPr>
          <w:rFonts w:ascii="Bookman Old Style" w:hAnsi="Bookman Old Style" w:cs="Aharoni"/>
          <w:b/>
          <w:color w:val="002060"/>
          <w:highlight w:val="yellow"/>
        </w:rPr>
        <w:t>Tax free bonds - how it benefits the Tax payers in 20% &amp; 30% slabs.</w:t>
      </w:r>
    </w:p>
    <w:p w:rsidR="000E3A55" w:rsidRPr="00D32A96" w:rsidRDefault="000E3A55" w:rsidP="00951C1E">
      <w:pPr>
        <w:pStyle w:val="NoSpacing"/>
        <w:rPr>
          <w:rFonts w:ascii="Bookman Old Style" w:hAnsi="Bookman Old Style" w:cs="Aharoni"/>
          <w:b/>
          <w:color w:val="00206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150"/>
        <w:gridCol w:w="2610"/>
        <w:gridCol w:w="2700"/>
      </w:tblGrid>
      <w:tr w:rsidR="00D32A96" w:rsidRPr="00D32A96" w:rsidTr="0064542C">
        <w:tc>
          <w:tcPr>
            <w:tcW w:w="3150" w:type="dxa"/>
          </w:tcPr>
          <w:p w:rsidR="000E3A55" w:rsidRPr="00D32A96" w:rsidRDefault="000E3A55" w:rsidP="00951C1E">
            <w:pPr>
              <w:pStyle w:val="NoSpacing"/>
              <w:rPr>
                <w:rFonts w:ascii="Bookman Old Style" w:hAnsi="Bookman Old Style" w:cs="Aharoni"/>
                <w:b/>
                <w:color w:val="002060"/>
              </w:rPr>
            </w:pPr>
          </w:p>
        </w:tc>
        <w:tc>
          <w:tcPr>
            <w:tcW w:w="2610" w:type="dxa"/>
          </w:tcPr>
          <w:p w:rsidR="000E3A55" w:rsidRPr="00D32A96" w:rsidRDefault="000E3A55" w:rsidP="00951C1E">
            <w:pPr>
              <w:pStyle w:val="NoSpacing"/>
              <w:rPr>
                <w:rFonts w:ascii="Bookman Old Style" w:hAnsi="Bookman Old Style" w:cs="Aharoni"/>
                <w:b/>
                <w:color w:val="002060"/>
              </w:rPr>
            </w:pPr>
            <w:r w:rsidRPr="00D32A96">
              <w:rPr>
                <w:rFonts w:ascii="Bookman Old Style" w:hAnsi="Bookman Old Style" w:cs="Aharoni"/>
                <w:b/>
                <w:color w:val="002060"/>
              </w:rPr>
              <w:t>Investor in 20% slab</w:t>
            </w:r>
          </w:p>
        </w:tc>
        <w:tc>
          <w:tcPr>
            <w:tcW w:w="2700" w:type="dxa"/>
          </w:tcPr>
          <w:p w:rsidR="000E3A55" w:rsidRPr="00D32A96" w:rsidRDefault="000E3A55" w:rsidP="000E3A55">
            <w:pPr>
              <w:pStyle w:val="NoSpacing"/>
              <w:rPr>
                <w:rFonts w:ascii="Bookman Old Style" w:hAnsi="Bookman Old Style" w:cs="Aharoni"/>
                <w:b/>
                <w:color w:val="002060"/>
              </w:rPr>
            </w:pPr>
            <w:r w:rsidRPr="00D32A96">
              <w:rPr>
                <w:rFonts w:ascii="Bookman Old Style" w:hAnsi="Bookman Old Style" w:cs="Aharoni"/>
                <w:b/>
                <w:color w:val="002060"/>
              </w:rPr>
              <w:t>Investor in 30% slab</w:t>
            </w:r>
          </w:p>
        </w:tc>
      </w:tr>
      <w:tr w:rsidR="00D32A96" w:rsidRPr="00D32A96" w:rsidTr="0064542C">
        <w:tc>
          <w:tcPr>
            <w:tcW w:w="3150" w:type="dxa"/>
          </w:tcPr>
          <w:p w:rsidR="000E3A55" w:rsidRPr="00D32A96" w:rsidRDefault="000E3A55" w:rsidP="00951C1E">
            <w:pPr>
              <w:pStyle w:val="NoSpacing"/>
              <w:rPr>
                <w:rFonts w:ascii="Bookman Old Style" w:hAnsi="Bookman Old Style" w:cs="Aharoni"/>
                <w:b/>
                <w:color w:val="002060"/>
              </w:rPr>
            </w:pPr>
            <w:r w:rsidRPr="00D32A96">
              <w:rPr>
                <w:rFonts w:ascii="Bookman Old Style" w:hAnsi="Bookman Old Style" w:cs="Aharoni"/>
                <w:b/>
                <w:color w:val="002060"/>
              </w:rPr>
              <w:t>Tax free interest rate</w:t>
            </w:r>
          </w:p>
        </w:tc>
        <w:tc>
          <w:tcPr>
            <w:tcW w:w="2610" w:type="dxa"/>
          </w:tcPr>
          <w:p w:rsidR="000E3A55" w:rsidRPr="00D32A96" w:rsidRDefault="000E3A55" w:rsidP="00E12CB5">
            <w:pPr>
              <w:pStyle w:val="NoSpacing"/>
              <w:jc w:val="right"/>
              <w:rPr>
                <w:rFonts w:ascii="Bookman Old Style" w:hAnsi="Bookman Old Style" w:cs="Aharoni"/>
                <w:b/>
                <w:color w:val="002060"/>
              </w:rPr>
            </w:pPr>
            <w:r w:rsidRPr="00D32A96">
              <w:rPr>
                <w:rFonts w:ascii="Bookman Old Style" w:hAnsi="Bookman Old Style" w:cs="Aharoni"/>
                <w:b/>
                <w:color w:val="002060"/>
              </w:rPr>
              <w:t>7.17</w:t>
            </w:r>
            <w:r w:rsidR="00E12CB5" w:rsidRPr="00D32A96">
              <w:rPr>
                <w:rFonts w:ascii="Bookman Old Style" w:hAnsi="Bookman Old Style" w:cs="Aharoni"/>
                <w:b/>
                <w:color w:val="002060"/>
              </w:rPr>
              <w:t xml:space="preserve"> %</w:t>
            </w:r>
          </w:p>
        </w:tc>
        <w:tc>
          <w:tcPr>
            <w:tcW w:w="2700" w:type="dxa"/>
          </w:tcPr>
          <w:p w:rsidR="000E3A55" w:rsidRPr="00D32A96" w:rsidRDefault="000E3A55" w:rsidP="00E12CB5">
            <w:pPr>
              <w:pStyle w:val="NoSpacing"/>
              <w:jc w:val="right"/>
              <w:rPr>
                <w:rFonts w:ascii="Bookman Old Style" w:hAnsi="Bookman Old Style" w:cs="Aharoni"/>
                <w:b/>
                <w:color w:val="002060"/>
              </w:rPr>
            </w:pPr>
            <w:r w:rsidRPr="00D32A96">
              <w:rPr>
                <w:rFonts w:ascii="Bookman Old Style" w:hAnsi="Bookman Old Style" w:cs="Aharoni"/>
                <w:b/>
                <w:color w:val="002060"/>
              </w:rPr>
              <w:t>7.17</w:t>
            </w:r>
            <w:r w:rsidR="00E12CB5" w:rsidRPr="00D32A96">
              <w:rPr>
                <w:rFonts w:ascii="Bookman Old Style" w:hAnsi="Bookman Old Style" w:cs="Aharoni"/>
                <w:b/>
                <w:color w:val="002060"/>
              </w:rPr>
              <w:t xml:space="preserve"> %</w:t>
            </w:r>
          </w:p>
        </w:tc>
      </w:tr>
      <w:tr w:rsidR="00D32A96" w:rsidRPr="00D32A96" w:rsidTr="0064542C">
        <w:tc>
          <w:tcPr>
            <w:tcW w:w="3150" w:type="dxa"/>
          </w:tcPr>
          <w:p w:rsidR="000E3A55" w:rsidRPr="00D32A96" w:rsidRDefault="000E3A55" w:rsidP="00951C1E">
            <w:pPr>
              <w:pStyle w:val="NoSpacing"/>
              <w:rPr>
                <w:rFonts w:ascii="Bookman Old Style" w:hAnsi="Bookman Old Style" w:cs="Aharoni"/>
                <w:b/>
                <w:color w:val="002060"/>
                <w:highlight w:val="yellow"/>
              </w:rPr>
            </w:pPr>
            <w:r w:rsidRPr="00D32A96">
              <w:rPr>
                <w:rFonts w:ascii="Bookman Old Style" w:hAnsi="Bookman Old Style" w:cs="Aharoni"/>
                <w:b/>
                <w:color w:val="002060"/>
                <w:highlight w:val="yellow"/>
              </w:rPr>
              <w:t>Pre-Tax interest rate</w:t>
            </w:r>
          </w:p>
        </w:tc>
        <w:tc>
          <w:tcPr>
            <w:tcW w:w="2610" w:type="dxa"/>
          </w:tcPr>
          <w:p w:rsidR="000E3A55" w:rsidRPr="00D32A96" w:rsidRDefault="00E12CB5" w:rsidP="00E12CB5">
            <w:pPr>
              <w:pStyle w:val="NoSpacing"/>
              <w:jc w:val="right"/>
              <w:rPr>
                <w:rFonts w:ascii="Bookman Old Style" w:hAnsi="Bookman Old Style" w:cs="Aharoni"/>
                <w:b/>
                <w:color w:val="002060"/>
                <w:highlight w:val="yellow"/>
              </w:rPr>
            </w:pPr>
            <w:r w:rsidRPr="00D32A96">
              <w:rPr>
                <w:rFonts w:ascii="Bookman Old Style" w:hAnsi="Bookman Old Style" w:cs="Aharoni"/>
                <w:b/>
                <w:color w:val="002060"/>
                <w:highlight w:val="yellow"/>
              </w:rPr>
              <w:t>9.03 %</w:t>
            </w:r>
          </w:p>
        </w:tc>
        <w:tc>
          <w:tcPr>
            <w:tcW w:w="2700" w:type="dxa"/>
          </w:tcPr>
          <w:p w:rsidR="000E3A55" w:rsidRPr="00D32A96" w:rsidRDefault="00E12CB5" w:rsidP="00E12CB5">
            <w:pPr>
              <w:pStyle w:val="NoSpacing"/>
              <w:jc w:val="right"/>
              <w:rPr>
                <w:rFonts w:ascii="Bookman Old Style" w:hAnsi="Bookman Old Style" w:cs="Aharoni"/>
                <w:b/>
                <w:color w:val="002060"/>
                <w:highlight w:val="yellow"/>
              </w:rPr>
            </w:pPr>
            <w:r w:rsidRPr="00D32A96">
              <w:rPr>
                <w:rFonts w:ascii="Bookman Old Style" w:hAnsi="Bookman Old Style" w:cs="Aharoni"/>
                <w:b/>
                <w:color w:val="002060"/>
                <w:highlight w:val="yellow"/>
              </w:rPr>
              <w:t>10.37 %</w:t>
            </w:r>
          </w:p>
        </w:tc>
      </w:tr>
      <w:tr w:rsidR="00D32A96" w:rsidRPr="00D32A96" w:rsidTr="00F06D5F">
        <w:tc>
          <w:tcPr>
            <w:tcW w:w="3150" w:type="dxa"/>
          </w:tcPr>
          <w:p w:rsidR="00D32A96" w:rsidRPr="00D32A96" w:rsidRDefault="00D32A96" w:rsidP="00951C1E">
            <w:pPr>
              <w:pStyle w:val="NoSpacing"/>
              <w:rPr>
                <w:rFonts w:ascii="Bookman Old Style" w:hAnsi="Bookman Old Style" w:cs="Aharoni"/>
                <w:b/>
                <w:color w:val="002060"/>
              </w:rPr>
            </w:pPr>
            <w:r w:rsidRPr="00D32A96">
              <w:rPr>
                <w:rFonts w:ascii="Bookman Old Style" w:hAnsi="Bookman Old Style" w:cs="Aharoni"/>
                <w:b/>
                <w:color w:val="002060"/>
              </w:rPr>
              <w:t>YTM</w:t>
            </w:r>
          </w:p>
        </w:tc>
        <w:tc>
          <w:tcPr>
            <w:tcW w:w="5310" w:type="dxa"/>
            <w:gridSpan w:val="2"/>
          </w:tcPr>
          <w:p w:rsidR="00D32A96" w:rsidRPr="00D32A96" w:rsidRDefault="00D32A96" w:rsidP="00D32A96">
            <w:pPr>
              <w:pStyle w:val="NoSpacing"/>
              <w:jc w:val="center"/>
              <w:rPr>
                <w:rFonts w:ascii="Bookman Old Style" w:hAnsi="Bookman Old Style" w:cs="Aharoni"/>
                <w:b/>
                <w:color w:val="002060"/>
              </w:rPr>
            </w:pPr>
            <w:r w:rsidRPr="00D32A96">
              <w:rPr>
                <w:rFonts w:ascii="Bookman Old Style" w:hAnsi="Bookman Old Style" w:cs="Aharoni"/>
                <w:b/>
                <w:color w:val="002060"/>
              </w:rPr>
              <w:t>Depends on the premium payable</w:t>
            </w:r>
          </w:p>
        </w:tc>
      </w:tr>
    </w:tbl>
    <w:p w:rsidR="000E3A55" w:rsidRPr="00D32A96" w:rsidRDefault="00D32A96" w:rsidP="007E66B4">
      <w:pPr>
        <w:pStyle w:val="NoSpacing"/>
        <w:jc w:val="both"/>
        <w:rPr>
          <w:rFonts w:ascii="Bookman Old Style" w:hAnsi="Bookman Old Style" w:cs="Aharoni"/>
          <w:b/>
          <w:color w:val="002060"/>
        </w:rPr>
      </w:pPr>
      <w:r w:rsidRPr="00D32A96">
        <w:rPr>
          <w:rFonts w:ascii="Bookman Old Style" w:hAnsi="Bookman Old Style" w:cs="Aharoni"/>
          <w:b/>
          <w:color w:val="002060"/>
        </w:rPr>
        <w:t>Ascertain the price before investing to arrive at the YTM</w:t>
      </w:r>
      <w:r>
        <w:rPr>
          <w:rFonts w:ascii="Bookman Old Style" w:hAnsi="Bookman Old Style" w:cs="Aharoni"/>
          <w:b/>
        </w:rPr>
        <w:t>.</w:t>
      </w:r>
      <w:r w:rsidR="007E66B4">
        <w:rPr>
          <w:rFonts w:ascii="Bookman Old Style" w:hAnsi="Bookman Old Style" w:cs="Aharoni"/>
          <w:b/>
        </w:rPr>
        <w:t xml:space="preserve"> </w:t>
      </w:r>
      <w:r>
        <w:rPr>
          <w:rFonts w:ascii="Bookman Old Style" w:hAnsi="Bookman Old Style" w:cs="Aharoni"/>
          <w:b/>
        </w:rPr>
        <w:t xml:space="preserve"> </w:t>
      </w:r>
      <w:r w:rsidRPr="00D32A96">
        <w:rPr>
          <w:rFonts w:ascii="Bookman Old Style" w:hAnsi="Bookman Old Style" w:cs="Aharoni"/>
          <w:b/>
          <w:color w:val="002060"/>
        </w:rPr>
        <w:t xml:space="preserve">Interest received on the Bonds is fully exempt for Income Tax. </w:t>
      </w:r>
    </w:p>
    <w:p w:rsidR="00954C69" w:rsidRPr="00954C69" w:rsidRDefault="00954C69" w:rsidP="00951C1E">
      <w:pPr>
        <w:pStyle w:val="NoSpacing"/>
        <w:rPr>
          <w:rFonts w:ascii="Castellar" w:hAnsi="Castellar" w:cs="Aharoni"/>
          <w:b/>
        </w:rPr>
      </w:pPr>
    </w:p>
    <w:p w:rsidR="00951C1E" w:rsidRPr="00954C69" w:rsidRDefault="00352525" w:rsidP="00954C69">
      <w:pPr>
        <w:jc w:val="both"/>
        <w:rPr>
          <w:rFonts w:ascii="Courier New" w:hAnsi="Courier New" w:cs="Courier New"/>
          <w:b/>
          <w:color w:val="0070C0"/>
        </w:rPr>
      </w:pPr>
      <w:r w:rsidRPr="00954C69">
        <w:rPr>
          <w:rFonts w:ascii="Courier New" w:hAnsi="Courier New" w:cs="Courier New"/>
          <w:b/>
          <w:color w:val="0070C0"/>
        </w:rPr>
        <w:t xml:space="preserve">We also facilitate </w:t>
      </w:r>
      <w:r w:rsidRPr="007E66B4">
        <w:rPr>
          <w:rFonts w:ascii="Courier New" w:hAnsi="Courier New" w:cs="Courier New"/>
          <w:b/>
          <w:color w:val="002060"/>
        </w:rPr>
        <w:t>OFFLINE subscription to the PUBLIC ISSUES OF TAX FREE BONDS</w:t>
      </w:r>
      <w:r w:rsidR="00954C69" w:rsidRPr="007E66B4">
        <w:rPr>
          <w:rFonts w:ascii="Courier New" w:hAnsi="Courier New" w:cs="Courier New"/>
          <w:b/>
          <w:color w:val="002060"/>
        </w:rPr>
        <w:t>.</w:t>
      </w:r>
      <w:r w:rsidR="00954C69" w:rsidRPr="00954C69">
        <w:rPr>
          <w:rFonts w:ascii="Courier New" w:hAnsi="Courier New" w:cs="Courier New"/>
          <w:b/>
          <w:color w:val="0070C0"/>
        </w:rPr>
        <w:t xml:space="preserve"> Retail participation is increasing in the issues. You can call us on the aforesaid Telephone numbers for Offline application and also for facilitating investment in the Tax free Bonds.  </w:t>
      </w:r>
      <w:r w:rsidRPr="00954C69">
        <w:rPr>
          <w:rFonts w:ascii="Courier New" w:hAnsi="Courier New" w:cs="Courier New"/>
          <w:b/>
          <w:color w:val="0070C0"/>
        </w:rPr>
        <w:t xml:space="preserve"> </w:t>
      </w:r>
      <w:bookmarkStart w:id="0" w:name="_GoBack"/>
      <w:bookmarkEnd w:id="0"/>
    </w:p>
    <w:p w:rsidR="00954C69" w:rsidRPr="00954C69" w:rsidRDefault="00954C69" w:rsidP="00954C69">
      <w:pPr>
        <w:pStyle w:val="NoSpacing"/>
        <w:jc w:val="both"/>
        <w:rPr>
          <w:rFonts w:ascii="Courier New" w:hAnsi="Courier New" w:cs="Courier New"/>
        </w:rPr>
      </w:pPr>
    </w:p>
    <w:p w:rsidR="00954C69" w:rsidRPr="00954C69" w:rsidRDefault="00954C69" w:rsidP="00954C69">
      <w:pPr>
        <w:pStyle w:val="NoSpacing"/>
        <w:jc w:val="both"/>
        <w:rPr>
          <w:rFonts w:ascii="Courier New" w:hAnsi="Courier New" w:cs="Courier New"/>
          <w:b/>
          <w:color w:val="0070C0"/>
        </w:rPr>
      </w:pPr>
      <w:r w:rsidRPr="00954C69">
        <w:rPr>
          <w:rFonts w:ascii="Courier New" w:hAnsi="Courier New" w:cs="Courier New"/>
          <w:b/>
          <w:color w:val="0070C0"/>
        </w:rPr>
        <w:t xml:space="preserve">Our clients can invest in the </w:t>
      </w:r>
      <w:r w:rsidRPr="007E66B4">
        <w:rPr>
          <w:rFonts w:ascii="Courier New" w:hAnsi="Courier New" w:cs="Courier New"/>
          <w:b/>
          <w:color w:val="002060"/>
        </w:rPr>
        <w:t xml:space="preserve">TAX SAVER SCHEMES (ELSS) of various Mutual Funds </w:t>
      </w:r>
      <w:r w:rsidRPr="00954C69">
        <w:rPr>
          <w:rFonts w:ascii="Courier New" w:hAnsi="Courier New" w:cs="Courier New"/>
          <w:b/>
          <w:color w:val="0070C0"/>
        </w:rPr>
        <w:t xml:space="preserve">through our online trading portal. Please feel free to call us at the aforesaid telephone numbers for any assistance. </w:t>
      </w:r>
    </w:p>
    <w:p w:rsidR="00954C69" w:rsidRPr="00954C69" w:rsidRDefault="00954C69" w:rsidP="00954C69">
      <w:pPr>
        <w:jc w:val="both"/>
        <w:rPr>
          <w:rFonts w:ascii="Courier New" w:hAnsi="Courier New" w:cs="Courier New"/>
          <w:b/>
          <w:color w:val="0070C0"/>
        </w:rPr>
      </w:pPr>
    </w:p>
    <w:sectPr w:rsidR="00954C69" w:rsidRPr="00954C69" w:rsidSect="00352525">
      <w:pgSz w:w="12240" w:h="15840"/>
      <w:pgMar w:top="1440" w:right="1440" w:bottom="1440" w:left="1440" w:header="720" w:footer="720" w:gutter="0"/>
      <w:pgBorders>
        <w:top w:val="thinThickThinMediumGap" w:sz="24" w:space="1" w:color="FFC000"/>
        <w:left w:val="thinThickThinMediumGap" w:sz="24" w:space="4" w:color="FFC000"/>
        <w:bottom w:val="thinThickThinMediumGap" w:sz="24" w:space="1" w:color="FFC000"/>
        <w:right w:val="thinThickThinMediumGap" w:sz="24" w:space="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1E"/>
    <w:rsid w:val="000E3A55"/>
    <w:rsid w:val="00201BE1"/>
    <w:rsid w:val="00352525"/>
    <w:rsid w:val="0062674E"/>
    <w:rsid w:val="0064542C"/>
    <w:rsid w:val="007A24CE"/>
    <w:rsid w:val="007E66B4"/>
    <w:rsid w:val="00951C1E"/>
    <w:rsid w:val="00954C69"/>
    <w:rsid w:val="00BC5602"/>
    <w:rsid w:val="00D32A96"/>
    <w:rsid w:val="00E1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1C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1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 Dealer</dc:creator>
  <cp:lastModifiedBy>Chief Dealer</cp:lastModifiedBy>
  <cp:revision>6</cp:revision>
  <dcterms:created xsi:type="dcterms:W3CDTF">2015-10-12T03:46:00Z</dcterms:created>
  <dcterms:modified xsi:type="dcterms:W3CDTF">2015-10-12T09:34:00Z</dcterms:modified>
</cp:coreProperties>
</file>